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0345" w14:textId="77777777" w:rsidR="009343FE" w:rsidRDefault="009343FE">
      <w:pPr>
        <w:pStyle w:val="Default"/>
        <w:jc w:val="center"/>
        <w:rPr>
          <w:rFonts w:ascii="Open Sans" w:hAnsi="Open Sans"/>
          <w:b/>
          <w:bCs/>
          <w:color w:val="006600"/>
          <w:sz w:val="26"/>
          <w:szCs w:val="26"/>
        </w:rPr>
      </w:pPr>
      <w:r w:rsidRPr="009343FE">
        <w:rPr>
          <w:rFonts w:ascii="Open Sans" w:hAnsi="Open Sans"/>
          <w:b/>
          <w:bCs/>
          <w:color w:val="006600"/>
          <w:sz w:val="26"/>
          <w:szCs w:val="26"/>
        </w:rPr>
        <w:t>ŰRLAP KÉRELEM BENYÚJTÁSÁHOZ POLGÁRI NEMPERES ELJÁRÁSBAN</w:t>
      </w:r>
    </w:p>
    <w:p w14:paraId="4B4B5F5C" w14:textId="77777777" w:rsidR="00875084" w:rsidRDefault="009343FE">
      <w:pPr>
        <w:pStyle w:val="Default"/>
        <w:jc w:val="center"/>
        <w:rPr>
          <w:rFonts w:ascii="Open Sans" w:hAnsi="Open Sans"/>
          <w:b/>
          <w:color w:val="006600"/>
          <w:sz w:val="26"/>
          <w:szCs w:val="26"/>
        </w:rPr>
      </w:pPr>
      <w:r>
        <w:rPr>
          <w:rFonts w:ascii="Open Sans" w:hAnsi="Open Sans"/>
          <w:b/>
          <w:color w:val="006600"/>
          <w:sz w:val="26"/>
          <w:szCs w:val="26"/>
        </w:rPr>
        <w:t>N</w:t>
      </w:r>
      <w:r w:rsidR="00CF4DAC">
        <w:rPr>
          <w:rFonts w:ascii="Open Sans" w:hAnsi="Open Sans"/>
          <w:b/>
          <w:color w:val="006600"/>
          <w:sz w:val="26"/>
          <w:szCs w:val="26"/>
        </w:rPr>
        <w:t>P01 nyomtatvány</w:t>
      </w:r>
    </w:p>
    <w:p w14:paraId="2596187A" w14:textId="77777777" w:rsidR="00875084" w:rsidRDefault="00875084">
      <w:pPr>
        <w:pStyle w:val="Default"/>
        <w:jc w:val="center"/>
        <w:rPr>
          <w:rFonts w:ascii="Open Sans" w:hAnsi="Open Sans"/>
          <w:sz w:val="22"/>
          <w:szCs w:val="22"/>
        </w:rPr>
      </w:pPr>
    </w:p>
    <w:p w14:paraId="0A35C1D0" w14:textId="77777777" w:rsidR="00875084" w:rsidRDefault="00CF4DAC">
      <w:pPr>
        <w:pStyle w:val="Default"/>
        <w:jc w:val="both"/>
        <w:rPr>
          <w:rFonts w:ascii="Open Sans" w:hAnsi="Open Sans"/>
          <w:b/>
          <w:i/>
          <w:iCs/>
          <w:color w:val="006600"/>
          <w:u w:val="single"/>
        </w:rPr>
      </w:pPr>
      <w:r>
        <w:rPr>
          <w:rFonts w:ascii="Open Sans" w:hAnsi="Open Sans"/>
          <w:b/>
          <w:i/>
          <w:iCs/>
          <w:color w:val="006600"/>
        </w:rPr>
        <w:tab/>
      </w:r>
      <w:r>
        <w:rPr>
          <w:rFonts w:ascii="Open Sans" w:hAnsi="Open Sans"/>
          <w:b/>
          <w:i/>
          <w:iCs/>
          <w:color w:val="006600"/>
          <w:u w:val="single"/>
        </w:rPr>
        <w:t>I. Mely esetben kell benyújtani?</w:t>
      </w:r>
    </w:p>
    <w:p w14:paraId="4B58F299" w14:textId="77777777" w:rsidR="00875084" w:rsidRDefault="00875084">
      <w:pPr>
        <w:pStyle w:val="Default"/>
        <w:jc w:val="both"/>
        <w:rPr>
          <w:rFonts w:ascii="Open Sans" w:hAnsi="Open Sans"/>
          <w:b/>
          <w:color w:val="006600"/>
          <w:u w:val="single"/>
        </w:rPr>
      </w:pPr>
    </w:p>
    <w:p w14:paraId="2E5FAD9A" w14:textId="77777777" w:rsidR="00875084" w:rsidRDefault="00CF4DAC">
      <w:pPr>
        <w:pStyle w:val="Default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Ha kéri, hogy a bíróság döntsön el valamely jogvitát,</w:t>
      </w:r>
      <w:r w:rsidR="009343FE">
        <w:rPr>
          <w:rFonts w:ascii="Open Sans" w:hAnsi="Open Sans"/>
          <w:sz w:val="22"/>
          <w:szCs w:val="22"/>
        </w:rPr>
        <w:t xml:space="preserve"> amely nem tartozik peres eljárásra,</w:t>
      </w:r>
      <w:r>
        <w:rPr>
          <w:rFonts w:ascii="Open Sans" w:hAnsi="Open Sans"/>
          <w:sz w:val="22"/>
          <w:szCs w:val="22"/>
        </w:rPr>
        <w:t xml:space="preserve"> erre irányuló</w:t>
      </w:r>
      <w:r w:rsidR="009343FE">
        <w:rPr>
          <w:rFonts w:ascii="Open Sans" w:hAnsi="Open Sans"/>
          <w:sz w:val="22"/>
          <w:szCs w:val="22"/>
        </w:rPr>
        <w:t>an</w:t>
      </w:r>
      <w:r>
        <w:rPr>
          <w:rFonts w:ascii="Open Sans" w:hAnsi="Open Sans"/>
          <w:sz w:val="22"/>
          <w:szCs w:val="22"/>
        </w:rPr>
        <w:t xml:space="preserve"> kérelmet kell előterjesztenie. A </w:t>
      </w:r>
      <w:r w:rsidR="009343FE">
        <w:rPr>
          <w:rFonts w:ascii="Open Sans" w:hAnsi="Open Sans"/>
          <w:sz w:val="22"/>
          <w:szCs w:val="22"/>
        </w:rPr>
        <w:t>nem</w:t>
      </w:r>
      <w:r>
        <w:rPr>
          <w:rFonts w:ascii="Open Sans" w:hAnsi="Open Sans"/>
          <w:sz w:val="22"/>
          <w:szCs w:val="22"/>
        </w:rPr>
        <w:t xml:space="preserve">peres eljárásban ezt </w:t>
      </w:r>
      <w:r w:rsidR="009343FE">
        <w:rPr>
          <w:rFonts w:ascii="Open Sans" w:hAnsi="Open Sans"/>
          <w:sz w:val="22"/>
          <w:szCs w:val="22"/>
        </w:rPr>
        <w:t>kérelemnek</w:t>
      </w:r>
      <w:r>
        <w:rPr>
          <w:rFonts w:ascii="Open Sans" w:hAnsi="Open Sans"/>
          <w:sz w:val="22"/>
          <w:szCs w:val="22"/>
        </w:rPr>
        <w:t xml:space="preserve"> nevezik.</w:t>
      </w:r>
      <w:r w:rsidR="009343FE">
        <w:rPr>
          <w:rFonts w:ascii="Open Sans" w:hAnsi="Open Sans"/>
          <w:sz w:val="22"/>
          <w:szCs w:val="22"/>
        </w:rPr>
        <w:t xml:space="preserve"> </w:t>
      </w:r>
      <w:r w:rsidR="009343FE" w:rsidRPr="009343FE">
        <w:rPr>
          <w:rFonts w:ascii="Open Sans" w:hAnsi="Open Sans"/>
          <w:sz w:val="22"/>
          <w:szCs w:val="22"/>
        </w:rPr>
        <w:t>A nyomtatvány a járásbíróságok</w:t>
      </w:r>
      <w:r w:rsidR="009343FE">
        <w:rPr>
          <w:rFonts w:ascii="Open Sans" w:hAnsi="Open Sans"/>
          <w:sz w:val="22"/>
          <w:szCs w:val="22"/>
        </w:rPr>
        <w:t xml:space="preserve"> (Budapesten a kerületi bíróságok),</w:t>
      </w:r>
      <w:r w:rsidR="009343FE" w:rsidRPr="009343FE">
        <w:rPr>
          <w:rFonts w:ascii="Open Sans" w:hAnsi="Open Sans"/>
          <w:sz w:val="22"/>
          <w:szCs w:val="22"/>
        </w:rPr>
        <w:t xml:space="preserve"> törvényszékek, ítélőtáblák és a Kúria előtti első fokú polgári nemperes eljárás megindítása céljából nyújtható be.</w:t>
      </w:r>
    </w:p>
    <w:p w14:paraId="2793B481" w14:textId="77777777"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p w14:paraId="68807E3F" w14:textId="77777777" w:rsidR="00875084" w:rsidRDefault="00CF4DAC">
      <w:pPr>
        <w:pStyle w:val="Default"/>
        <w:jc w:val="both"/>
        <w:rPr>
          <w:rFonts w:ascii="Open Sans" w:hAnsi="Open Sans"/>
          <w:b/>
          <w:bCs/>
          <w:i/>
          <w:iCs/>
          <w:sz w:val="22"/>
          <w:szCs w:val="22"/>
        </w:rPr>
      </w:pPr>
      <w:r>
        <w:rPr>
          <w:rFonts w:ascii="Open Sans" w:hAnsi="Open Sans"/>
          <w:b/>
          <w:bCs/>
          <w:i/>
          <w:iCs/>
          <w:sz w:val="22"/>
          <w:szCs w:val="22"/>
        </w:rPr>
        <w:tab/>
      </w:r>
      <w:r>
        <w:rPr>
          <w:rFonts w:ascii="Open Sans" w:hAnsi="Open Sans"/>
          <w:b/>
          <w:bCs/>
          <w:i/>
          <w:iCs/>
          <w:color w:val="006600"/>
          <w:u w:val="single"/>
        </w:rPr>
        <w:t>II. Mely ügyek minősülnek polgári ügynek?</w:t>
      </w:r>
    </w:p>
    <w:p w14:paraId="2478185F" w14:textId="77777777"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p w14:paraId="2E4BB40D" w14:textId="77777777" w:rsidR="00875084" w:rsidRDefault="00CF4DAC">
      <w:pPr>
        <w:pStyle w:val="Default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Polgári ügy minden olyan ügy, ami nem tartozik a gazdasági</w:t>
      </w:r>
      <w:r w:rsidR="009343FE">
        <w:rPr>
          <w:rFonts w:ascii="Open Sans" w:hAnsi="Open Sans"/>
          <w:sz w:val="22"/>
          <w:szCs w:val="22"/>
        </w:rPr>
        <w:t>, munkaügyi vagy közigazgatási</w:t>
      </w:r>
      <w:r>
        <w:rPr>
          <w:rFonts w:ascii="Open Sans" w:hAnsi="Open Sans"/>
          <w:sz w:val="22"/>
          <w:szCs w:val="22"/>
        </w:rPr>
        <w:t xml:space="preserve"> ügyek körébe. Gazdasági </w:t>
      </w:r>
      <w:r w:rsidR="009343FE">
        <w:rPr>
          <w:rFonts w:ascii="Open Sans" w:hAnsi="Open Sans"/>
          <w:sz w:val="22"/>
          <w:szCs w:val="22"/>
        </w:rPr>
        <w:t xml:space="preserve">ügynek </w:t>
      </w:r>
      <w:r>
        <w:rPr>
          <w:rFonts w:ascii="Open Sans" w:hAnsi="Open Sans"/>
          <w:sz w:val="22"/>
          <w:szCs w:val="22"/>
        </w:rPr>
        <w:t>minősül főszabály szerint minden olyan ügy, amiben a felek mindegyike gazdálkodó szervezet vagy egyéni vállalkozó.</w:t>
      </w:r>
      <w:r w:rsidR="009343FE">
        <w:rPr>
          <w:rFonts w:ascii="Open Sans" w:hAnsi="Open Sans"/>
          <w:sz w:val="22"/>
          <w:szCs w:val="22"/>
        </w:rPr>
        <w:t xml:space="preserve"> Munkaügy a </w:t>
      </w:r>
      <w:r w:rsidR="009343FE" w:rsidRPr="009343FE">
        <w:rPr>
          <w:rFonts w:ascii="Open Sans" w:hAnsi="Open Sans"/>
          <w:sz w:val="22"/>
          <w:szCs w:val="22"/>
        </w:rPr>
        <w:t>munkajogi igény érvényesítésével kapcsolatos, valamint a közalkalmazotti, kormányzati, kormányzati szolgálati, közszolgálati, szolgálati jogviszonyból, a munkavégzési kötelezettséggel járó szövetkezeti tagsági jogviszonyából és a bedolgozói jogviszonyból (továbbiakban: munkaviszony)</w:t>
      </w:r>
      <w:r w:rsidR="009343FE">
        <w:rPr>
          <w:rFonts w:ascii="Open Sans" w:hAnsi="Open Sans"/>
          <w:sz w:val="22"/>
          <w:szCs w:val="22"/>
        </w:rPr>
        <w:t xml:space="preserve"> eredő ügy. Közigazgatási ügy valamely közigazgatási szervezet tevékenységével vagy mulasztásával összefüggő eljárás.</w:t>
      </w:r>
    </w:p>
    <w:p w14:paraId="294731C3" w14:textId="77777777"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p w14:paraId="2B4CD3EB" w14:textId="77777777" w:rsidR="00875084" w:rsidRDefault="00CF4DAC">
      <w:pPr>
        <w:pStyle w:val="Default"/>
        <w:jc w:val="both"/>
        <w:rPr>
          <w:rFonts w:ascii="Open Sans" w:hAnsi="Open Sans"/>
          <w:b/>
          <w:i/>
          <w:iCs/>
          <w:sz w:val="22"/>
          <w:szCs w:val="22"/>
        </w:rPr>
      </w:pPr>
      <w:r>
        <w:rPr>
          <w:rFonts w:ascii="Open Sans" w:hAnsi="Open Sans"/>
          <w:b/>
          <w:i/>
          <w:iCs/>
          <w:sz w:val="22"/>
          <w:szCs w:val="22"/>
        </w:rPr>
        <w:tab/>
      </w:r>
      <w:r>
        <w:rPr>
          <w:rFonts w:ascii="Open Sans" w:hAnsi="Open Sans"/>
          <w:b/>
          <w:i/>
          <w:iCs/>
          <w:color w:val="006600"/>
          <w:u w:val="single"/>
        </w:rPr>
        <w:t xml:space="preserve">III. Mely ügyek tartoznak </w:t>
      </w:r>
      <w:r w:rsidR="009343FE">
        <w:rPr>
          <w:rFonts w:ascii="Open Sans" w:hAnsi="Open Sans"/>
          <w:b/>
          <w:i/>
          <w:iCs/>
          <w:color w:val="006600"/>
          <w:u w:val="single"/>
        </w:rPr>
        <w:t>a nemperes eljárások közé</w:t>
      </w:r>
      <w:r>
        <w:rPr>
          <w:rFonts w:ascii="Open Sans" w:hAnsi="Open Sans"/>
          <w:b/>
          <w:i/>
          <w:iCs/>
          <w:color w:val="006600"/>
          <w:u w:val="single"/>
        </w:rPr>
        <w:t>?</w:t>
      </w:r>
    </w:p>
    <w:p w14:paraId="3D6A9C30" w14:textId="77777777" w:rsidR="00875084" w:rsidRDefault="00875084">
      <w:pPr>
        <w:pStyle w:val="Default"/>
        <w:jc w:val="both"/>
        <w:rPr>
          <w:rFonts w:ascii="Open Sans" w:hAnsi="Open Sans"/>
          <w:i/>
          <w:iCs/>
          <w:sz w:val="22"/>
          <w:szCs w:val="22"/>
        </w:rPr>
      </w:pPr>
    </w:p>
    <w:p w14:paraId="3DF6B1A8" w14:textId="77777777" w:rsidR="00875084" w:rsidRDefault="00CF4DAC">
      <w:pPr>
        <w:pStyle w:val="Default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Az adatlap 1.</w:t>
      </w:r>
      <w:r w:rsidR="009343FE">
        <w:rPr>
          <w:rFonts w:ascii="Open Sans" w:hAnsi="Open Sans"/>
          <w:sz w:val="22"/>
          <w:szCs w:val="22"/>
        </w:rPr>
        <w:t>3</w:t>
      </w:r>
      <w:r>
        <w:rPr>
          <w:rFonts w:ascii="Open Sans" w:hAnsi="Open Sans"/>
          <w:sz w:val="22"/>
          <w:szCs w:val="22"/>
        </w:rPr>
        <w:t xml:space="preserve">. pontjában legördülő menüben választhatja ki a kívánt </w:t>
      </w:r>
      <w:r w:rsidR="009343FE">
        <w:rPr>
          <w:rFonts w:ascii="Open Sans" w:hAnsi="Open Sans"/>
          <w:sz w:val="22"/>
          <w:szCs w:val="22"/>
        </w:rPr>
        <w:t>ügykategóriát. Ezt az űrlapot kell benyújtania például:</w:t>
      </w:r>
    </w:p>
    <w:p w14:paraId="3C0A5A2A" w14:textId="77777777" w:rsidR="009343FE" w:rsidRDefault="009343FE" w:rsidP="009343FE">
      <w:pPr>
        <w:pStyle w:val="Default"/>
        <w:numPr>
          <w:ilvl w:val="0"/>
          <w:numId w:val="5"/>
        </w:numPr>
        <w:jc w:val="both"/>
        <w:rPr>
          <w:rFonts w:ascii="Open Sans" w:hAnsi="Open Sans"/>
          <w:sz w:val="22"/>
          <w:szCs w:val="22"/>
        </w:rPr>
      </w:pPr>
      <w:r w:rsidRPr="009343FE">
        <w:rPr>
          <w:rFonts w:ascii="Open Sans" w:hAnsi="Open Sans"/>
          <w:sz w:val="22"/>
          <w:szCs w:val="22"/>
        </w:rPr>
        <w:t>Egyességi kísérletre idézés</w:t>
      </w:r>
    </w:p>
    <w:p w14:paraId="7431D8D1" w14:textId="77777777" w:rsidR="009343FE" w:rsidRDefault="009343FE" w:rsidP="009343FE">
      <w:pPr>
        <w:pStyle w:val="Default"/>
        <w:numPr>
          <w:ilvl w:val="0"/>
          <w:numId w:val="5"/>
        </w:numPr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Előzetes bizonyítás</w:t>
      </w:r>
    </w:p>
    <w:p w14:paraId="3757C8C8" w14:textId="77777777" w:rsidR="009343FE" w:rsidRDefault="009343FE" w:rsidP="009343FE">
      <w:pPr>
        <w:pStyle w:val="Default"/>
        <w:numPr>
          <w:ilvl w:val="0"/>
          <w:numId w:val="5"/>
        </w:numPr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Halál tényének megállapítása, eltűntnek nyilvánítás, holttá nyilvánítás</w:t>
      </w:r>
    </w:p>
    <w:p w14:paraId="3DBE6810" w14:textId="77777777" w:rsidR="009343FE" w:rsidRDefault="009343FE" w:rsidP="009343FE">
      <w:pPr>
        <w:pStyle w:val="Default"/>
        <w:numPr>
          <w:ilvl w:val="0"/>
          <w:numId w:val="5"/>
        </w:numPr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Kapcsolattartás végrehajtásával összefüggő ügyekben</w:t>
      </w:r>
    </w:p>
    <w:p w14:paraId="4CAB0B9F" w14:textId="77777777" w:rsidR="009343FE" w:rsidRDefault="009343FE" w:rsidP="009343FE">
      <w:pPr>
        <w:pStyle w:val="Default"/>
        <w:numPr>
          <w:ilvl w:val="0"/>
          <w:numId w:val="5"/>
        </w:numPr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Külföldi ítélet érvényességének elismerése</w:t>
      </w:r>
    </w:p>
    <w:p w14:paraId="58E9BC7C" w14:textId="77777777" w:rsidR="009343FE" w:rsidRDefault="009343FE" w:rsidP="009343FE">
      <w:pPr>
        <w:pStyle w:val="Default"/>
        <w:numPr>
          <w:ilvl w:val="0"/>
          <w:numId w:val="5"/>
        </w:numPr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Bírósági letétbe helyezés</w:t>
      </w:r>
    </w:p>
    <w:p w14:paraId="19F0C634" w14:textId="4ED7A626" w:rsidR="009343FE" w:rsidRDefault="009343FE" w:rsidP="009343FE">
      <w:pPr>
        <w:pStyle w:val="Default"/>
        <w:numPr>
          <w:ilvl w:val="0"/>
          <w:numId w:val="5"/>
        </w:numPr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Pszichiátriai betegekkel kapcsolatos felülvizsgálati ügyekben</w:t>
      </w:r>
    </w:p>
    <w:p w14:paraId="420DE316" w14:textId="330CF770" w:rsidR="00F018FD" w:rsidRPr="009343FE" w:rsidRDefault="00F018FD" w:rsidP="009343FE">
      <w:pPr>
        <w:pStyle w:val="Default"/>
        <w:numPr>
          <w:ilvl w:val="0"/>
          <w:numId w:val="5"/>
        </w:numPr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A </w:t>
      </w:r>
      <w:r w:rsidRPr="00F018FD">
        <w:rPr>
          <w:rFonts w:ascii="Open Sans" w:hAnsi="Open Sans"/>
          <w:sz w:val="22"/>
          <w:szCs w:val="22"/>
        </w:rPr>
        <w:t>2021. évi XCIV. t</w:t>
      </w:r>
      <w:r>
        <w:rPr>
          <w:rFonts w:ascii="Open Sans" w:hAnsi="Open Sans"/>
          <w:sz w:val="22"/>
          <w:szCs w:val="22"/>
        </w:rPr>
        <w:t>örvény szerinti vagyoni elégtétel iránti igény érvényesítése iránt</w:t>
      </w:r>
    </w:p>
    <w:p w14:paraId="44F0749C" w14:textId="77777777"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p w14:paraId="57B65598" w14:textId="77777777" w:rsidR="00875084" w:rsidRPr="009343FE" w:rsidRDefault="00CF4DAC">
      <w:pPr>
        <w:pStyle w:val="Default"/>
        <w:jc w:val="both"/>
        <w:rPr>
          <w:rFonts w:ascii="Open Sans" w:hAnsi="Open Sans"/>
          <w:b/>
          <w:sz w:val="22"/>
          <w:szCs w:val="22"/>
        </w:rPr>
      </w:pPr>
      <w:r w:rsidRPr="009343FE">
        <w:rPr>
          <w:rFonts w:ascii="Open Sans" w:hAnsi="Open Sans"/>
          <w:b/>
          <w:sz w:val="22"/>
          <w:szCs w:val="22"/>
        </w:rPr>
        <w:t>Másik</w:t>
      </w:r>
      <w:r w:rsidR="009343FE" w:rsidRPr="009343FE">
        <w:rPr>
          <w:rFonts w:ascii="Open Sans" w:hAnsi="Open Sans"/>
          <w:b/>
          <w:sz w:val="22"/>
          <w:szCs w:val="22"/>
        </w:rPr>
        <w:t xml:space="preserve"> űrlap</w:t>
      </w:r>
      <w:r w:rsidRPr="009343FE">
        <w:rPr>
          <w:rFonts w:ascii="Open Sans" w:hAnsi="Open Sans"/>
          <w:b/>
          <w:sz w:val="22"/>
          <w:szCs w:val="22"/>
        </w:rPr>
        <w:t xml:space="preserve"> kitöltése szükséges</w:t>
      </w:r>
    </w:p>
    <w:p w14:paraId="08FE88A8" w14:textId="77777777" w:rsidR="00875084" w:rsidRDefault="009343FE" w:rsidP="009343FE">
      <w:pPr>
        <w:pStyle w:val="Default"/>
        <w:numPr>
          <w:ilvl w:val="0"/>
          <w:numId w:val="6"/>
        </w:numPr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gazdasági nemperes beadvány benyújtásához (NP05)</w:t>
      </w:r>
    </w:p>
    <w:p w14:paraId="27CD3FBE" w14:textId="77777777" w:rsidR="009343FE" w:rsidRDefault="009343FE" w:rsidP="009343FE">
      <w:pPr>
        <w:pStyle w:val="Default"/>
        <w:numPr>
          <w:ilvl w:val="0"/>
          <w:numId w:val="6"/>
        </w:numPr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munkaügyi nemperes beadvány benyújtásához (KMB01)</w:t>
      </w:r>
    </w:p>
    <w:p w14:paraId="08132409" w14:textId="77777777" w:rsidR="009343FE" w:rsidRDefault="009343FE" w:rsidP="009343FE">
      <w:pPr>
        <w:pStyle w:val="Default"/>
        <w:numPr>
          <w:ilvl w:val="0"/>
          <w:numId w:val="6"/>
        </w:numPr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közigazgatási nemperes beadvány benyújtásához (KMB03)</w:t>
      </w:r>
    </w:p>
    <w:p w14:paraId="615A0FBC" w14:textId="77777777" w:rsidR="009343FE" w:rsidRDefault="009343FE" w:rsidP="009343FE">
      <w:pPr>
        <w:pStyle w:val="Default"/>
        <w:numPr>
          <w:ilvl w:val="0"/>
          <w:numId w:val="6"/>
        </w:numPr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keresetlevél benyújtásához polgári ügyben (P01, P02)</w:t>
      </w:r>
    </w:p>
    <w:p w14:paraId="571A8E6A" w14:textId="77777777" w:rsidR="009343FE" w:rsidRDefault="009343FE">
      <w:pPr>
        <w:pStyle w:val="Default"/>
        <w:jc w:val="both"/>
        <w:rPr>
          <w:rFonts w:ascii="Open Sans" w:hAnsi="Open Sans"/>
          <w:sz w:val="22"/>
          <w:szCs w:val="22"/>
        </w:rPr>
      </w:pPr>
    </w:p>
    <w:p w14:paraId="30D660A9" w14:textId="77777777" w:rsidR="00875084" w:rsidRDefault="00CF4DAC">
      <w:pPr>
        <w:pStyle w:val="Default"/>
        <w:jc w:val="both"/>
        <w:rPr>
          <w:rFonts w:ascii="Open Sans" w:hAnsi="Open Sans"/>
          <w:b/>
          <w:bCs/>
          <w:i/>
          <w:iCs/>
          <w:sz w:val="22"/>
          <w:szCs w:val="22"/>
        </w:rPr>
      </w:pPr>
      <w:r>
        <w:rPr>
          <w:rFonts w:ascii="Open Sans" w:hAnsi="Open Sans"/>
          <w:b/>
          <w:bCs/>
          <w:i/>
          <w:iCs/>
          <w:sz w:val="22"/>
          <w:szCs w:val="22"/>
        </w:rPr>
        <w:tab/>
      </w:r>
      <w:r>
        <w:rPr>
          <w:rFonts w:ascii="Open Sans" w:hAnsi="Open Sans"/>
          <w:b/>
          <w:bCs/>
          <w:i/>
          <w:iCs/>
          <w:color w:val="006600"/>
          <w:u w:val="single"/>
        </w:rPr>
        <w:t>IV. Ki nyújthatja be ezt a nyomtatványt?</w:t>
      </w:r>
    </w:p>
    <w:p w14:paraId="2B46F94E" w14:textId="77777777"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p w14:paraId="5CD6EADE" w14:textId="77777777" w:rsidR="00875084" w:rsidRDefault="00CF4DAC">
      <w:pPr>
        <w:pStyle w:val="Default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Az, aki a törvény rendelkezései szerint köteles a perben az elektronikus eljárás szabályainak megfelelően eljárni, vagy aki nem köteles erre, azonban mégis az elektronikus kapcsolattartási módot választotta.</w:t>
      </w:r>
    </w:p>
    <w:p w14:paraId="3BFD3611" w14:textId="77777777" w:rsidR="00F72C4B" w:rsidRDefault="00F72C4B">
      <w:pPr>
        <w:pStyle w:val="Default"/>
        <w:jc w:val="both"/>
        <w:rPr>
          <w:rFonts w:ascii="Open Sans" w:hAnsi="Open Sans"/>
          <w:sz w:val="22"/>
          <w:szCs w:val="22"/>
        </w:rPr>
      </w:pPr>
    </w:p>
    <w:p w14:paraId="7C1007D5" w14:textId="77777777" w:rsidR="00F72C4B" w:rsidRDefault="00F72C4B">
      <w:pPr>
        <w:pStyle w:val="Default"/>
        <w:jc w:val="both"/>
        <w:rPr>
          <w:rFonts w:ascii="Open Sans" w:hAnsi="Open Sans"/>
          <w:sz w:val="22"/>
          <w:szCs w:val="22"/>
        </w:rPr>
      </w:pPr>
    </w:p>
    <w:p w14:paraId="0E097888" w14:textId="77777777"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p w14:paraId="1C61C084" w14:textId="77777777" w:rsidR="00875084" w:rsidRDefault="00CF4DAC">
      <w:pPr>
        <w:pStyle w:val="Default"/>
        <w:jc w:val="both"/>
        <w:rPr>
          <w:rFonts w:ascii="Open Sans" w:hAnsi="Open Sans"/>
          <w:b/>
          <w:bCs/>
          <w:i/>
          <w:iCs/>
          <w:sz w:val="22"/>
          <w:szCs w:val="22"/>
        </w:rPr>
      </w:pPr>
      <w:r>
        <w:rPr>
          <w:rFonts w:ascii="Open Sans" w:hAnsi="Open Sans"/>
          <w:b/>
          <w:bCs/>
          <w:i/>
          <w:iCs/>
          <w:sz w:val="22"/>
          <w:szCs w:val="22"/>
        </w:rPr>
        <w:tab/>
      </w:r>
      <w:r>
        <w:rPr>
          <w:rFonts w:ascii="Open Sans" w:hAnsi="Open Sans"/>
          <w:b/>
          <w:bCs/>
          <w:i/>
          <w:iCs/>
          <w:color w:val="006600"/>
          <w:u w:val="single"/>
        </w:rPr>
        <w:t>V. Milyen lehetőségek vannak a beadvány szövegének feltüntetésére?</w:t>
      </w:r>
    </w:p>
    <w:p w14:paraId="6D2349E3" w14:textId="77777777"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p w14:paraId="7DD683AB" w14:textId="77777777" w:rsidR="00875084" w:rsidRDefault="00CF4DAC">
      <w:pPr>
        <w:pStyle w:val="Default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Lehetősége van arra, hogy az adatlapon tüntesse fel a </w:t>
      </w:r>
      <w:r w:rsidR="00F72C4B">
        <w:rPr>
          <w:rFonts w:ascii="Open Sans" w:hAnsi="Open Sans"/>
          <w:sz w:val="22"/>
          <w:szCs w:val="22"/>
        </w:rPr>
        <w:t>kérelem</w:t>
      </w:r>
      <w:r>
        <w:rPr>
          <w:rFonts w:ascii="Open Sans" w:hAnsi="Open Sans"/>
          <w:sz w:val="22"/>
          <w:szCs w:val="22"/>
        </w:rPr>
        <w:t xml:space="preserve"> szövegét, lehetősége van azonban arra is, hogy azt elektronikus dokumentumként csatolja az adatlaphoz. Elektronikus dokumentumként kell csatolni a </w:t>
      </w:r>
      <w:r w:rsidR="00F72C4B">
        <w:rPr>
          <w:rFonts w:ascii="Open Sans" w:hAnsi="Open Sans"/>
          <w:sz w:val="22"/>
          <w:szCs w:val="22"/>
        </w:rPr>
        <w:t>kérelem</w:t>
      </w:r>
      <w:r>
        <w:rPr>
          <w:rFonts w:ascii="Open Sans" w:hAnsi="Open Sans"/>
          <w:sz w:val="22"/>
          <w:szCs w:val="22"/>
        </w:rPr>
        <w:t xml:space="preserve"> mellékleteit is. Felhívjuk figyelmét, hogy a csatolni kívánt dokumentumok (</w:t>
      </w:r>
      <w:r w:rsidR="00F72C4B">
        <w:rPr>
          <w:rFonts w:ascii="Open Sans" w:hAnsi="Open Sans"/>
          <w:sz w:val="22"/>
          <w:szCs w:val="22"/>
        </w:rPr>
        <w:t>kérelem</w:t>
      </w:r>
      <w:r>
        <w:rPr>
          <w:rFonts w:ascii="Open Sans" w:hAnsi="Open Sans"/>
          <w:sz w:val="22"/>
          <w:szCs w:val="22"/>
        </w:rPr>
        <w:t xml:space="preserve"> és mellékletei) együttes mérete nem haladhatja meg a bíróságok központi honlapján (</w:t>
      </w:r>
      <w:hyperlink r:id="rId7" w:history="1">
        <w:r>
          <w:rPr>
            <w:rFonts w:ascii="Open Sans" w:hAnsi="Open Sans"/>
            <w:sz w:val="22"/>
            <w:szCs w:val="22"/>
          </w:rPr>
          <w:t>www.birosag.hu</w:t>
        </w:r>
      </w:hyperlink>
      <w:r>
        <w:rPr>
          <w:rFonts w:ascii="Open Sans" w:hAnsi="Open Sans"/>
          <w:sz w:val="22"/>
          <w:szCs w:val="22"/>
        </w:rPr>
        <w:t>) közzétett maximális nagyságot. Meghaladó méretnél a beadványt adathordozón kell beküldeni, melyet az adatlapon jelezni kell. Az adathordozón történő beküldéshez olvassa el a P28 jelölésű űrlaphoz tartozó tájékoztatót.</w:t>
      </w:r>
    </w:p>
    <w:p w14:paraId="29864137" w14:textId="77777777"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p w14:paraId="1E80ABD5" w14:textId="77777777" w:rsidR="00875084" w:rsidRDefault="00CF4DAC">
      <w:pPr>
        <w:pStyle w:val="Default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Az egyes pontok kitöltéséhez kérjük figyelmesen olvassa el a kitöltési útmutatót.</w:t>
      </w:r>
    </w:p>
    <w:p w14:paraId="494CBD7B" w14:textId="77777777"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sectPr w:rsidR="0087508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3E38" w14:textId="77777777" w:rsidR="00CF4DAC" w:rsidRDefault="00CF4DAC">
      <w:r>
        <w:separator/>
      </w:r>
    </w:p>
  </w:endnote>
  <w:endnote w:type="continuationSeparator" w:id="0">
    <w:p w14:paraId="1503F4C2" w14:textId="77777777" w:rsidR="00CF4DAC" w:rsidRDefault="00CF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ECE1" w14:textId="77777777" w:rsidR="00CF4DAC" w:rsidRDefault="00CF4DAC">
      <w:r>
        <w:rPr>
          <w:color w:val="000000"/>
        </w:rPr>
        <w:separator/>
      </w:r>
    </w:p>
  </w:footnote>
  <w:footnote w:type="continuationSeparator" w:id="0">
    <w:p w14:paraId="680377DD" w14:textId="77777777" w:rsidR="00CF4DAC" w:rsidRDefault="00CF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39AA"/>
    <w:multiLevelType w:val="multilevel"/>
    <w:tmpl w:val="CEA2B192"/>
    <w:styleLink w:val="WWNum3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01C23FC"/>
    <w:multiLevelType w:val="multilevel"/>
    <w:tmpl w:val="46D83B6E"/>
    <w:styleLink w:val="WWNum2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2CA0E83"/>
    <w:multiLevelType w:val="multilevel"/>
    <w:tmpl w:val="E0D86BBC"/>
    <w:styleLink w:val="WWNum1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5976828"/>
    <w:multiLevelType w:val="hybridMultilevel"/>
    <w:tmpl w:val="381CD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036AF"/>
    <w:multiLevelType w:val="hybridMultilevel"/>
    <w:tmpl w:val="2CB6A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24F15"/>
    <w:multiLevelType w:val="multilevel"/>
    <w:tmpl w:val="5AACCAAE"/>
    <w:styleLink w:val="WWNum4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4"/>
    <w:rsid w:val="00875084"/>
    <w:rsid w:val="009343FE"/>
    <w:rsid w:val="00CF4DAC"/>
    <w:rsid w:val="00DD7FEB"/>
    <w:rsid w:val="00F018FD"/>
    <w:rsid w:val="00F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4E9E"/>
  <w15:docId w15:val="{D5AD82D1-863E-49D2-B5D8-6C8607B3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Cambria" w:eastAsia="Cambria" w:hAnsi="Cambria" w:cs="Cambria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4">
    <w:name w:val="WWNum4"/>
    <w:basedOn w:val="N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rosag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Birosag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Kapitány Attila dr. [Veszprémi Törvényszék]</cp:lastModifiedBy>
  <cp:revision>4</cp:revision>
  <dcterms:created xsi:type="dcterms:W3CDTF">2020-02-27T16:53:00Z</dcterms:created>
  <dcterms:modified xsi:type="dcterms:W3CDTF">2021-12-28T10:13:00Z</dcterms:modified>
</cp:coreProperties>
</file>