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B6" w:rsidRDefault="000A00B6" w:rsidP="001D47FD">
      <w:pPr>
        <w:pStyle w:val="Default"/>
        <w:jc w:val="center"/>
        <w:rPr>
          <w:rFonts w:ascii="Open Sans" w:hAnsi="Open Sans"/>
          <w:b/>
          <w:bCs/>
          <w:color w:val="006600"/>
          <w:sz w:val="26"/>
          <w:szCs w:val="26"/>
        </w:rPr>
      </w:pPr>
      <w:r w:rsidRPr="000A00B6">
        <w:rPr>
          <w:rFonts w:ascii="Open Sans" w:hAnsi="Open Sans"/>
          <w:b/>
          <w:bCs/>
          <w:color w:val="006600"/>
          <w:sz w:val="26"/>
          <w:szCs w:val="26"/>
        </w:rPr>
        <w:t>ŰRLAP JOGEGYSÉGI PANASZ ELŐTERJESZTÉSÉHEZ</w:t>
      </w:r>
    </w:p>
    <w:p w:rsidR="00875084" w:rsidRDefault="00CF4DAC" w:rsidP="001D47FD">
      <w:pPr>
        <w:pStyle w:val="Default"/>
        <w:jc w:val="center"/>
        <w:rPr>
          <w:rFonts w:ascii="Open Sans" w:hAnsi="Open Sans"/>
          <w:b/>
          <w:color w:val="006600"/>
          <w:sz w:val="26"/>
          <w:szCs w:val="26"/>
        </w:rPr>
      </w:pPr>
      <w:r>
        <w:rPr>
          <w:rFonts w:ascii="Open Sans" w:hAnsi="Open Sans"/>
          <w:b/>
          <w:color w:val="006600"/>
          <w:sz w:val="26"/>
          <w:szCs w:val="26"/>
        </w:rPr>
        <w:t>P</w:t>
      </w:r>
      <w:r w:rsidR="000A00B6">
        <w:rPr>
          <w:rFonts w:ascii="Open Sans" w:hAnsi="Open Sans"/>
          <w:b/>
          <w:color w:val="006600"/>
          <w:sz w:val="26"/>
          <w:szCs w:val="26"/>
        </w:rPr>
        <w:t>30</w:t>
      </w:r>
      <w:r>
        <w:rPr>
          <w:rFonts w:ascii="Open Sans" w:hAnsi="Open Sans"/>
          <w:b/>
          <w:color w:val="006600"/>
          <w:sz w:val="26"/>
          <w:szCs w:val="26"/>
        </w:rPr>
        <w:t xml:space="preserve"> nyomtatvány</w:t>
      </w:r>
    </w:p>
    <w:p w:rsidR="00875084" w:rsidRDefault="00875084">
      <w:pPr>
        <w:pStyle w:val="Default"/>
        <w:jc w:val="center"/>
        <w:rPr>
          <w:rFonts w:ascii="Open Sans" w:hAnsi="Open Sans"/>
          <w:sz w:val="22"/>
          <w:szCs w:val="22"/>
        </w:rPr>
      </w:pPr>
    </w:p>
    <w:p w:rsidR="00875084" w:rsidRDefault="00CF4DAC">
      <w:pPr>
        <w:pStyle w:val="Default"/>
        <w:jc w:val="both"/>
        <w:rPr>
          <w:rFonts w:ascii="Open Sans" w:hAnsi="Open Sans"/>
          <w:b/>
          <w:i/>
          <w:iCs/>
          <w:color w:val="006600"/>
          <w:u w:val="single"/>
        </w:rPr>
      </w:pPr>
      <w:r>
        <w:rPr>
          <w:rFonts w:ascii="Open Sans" w:hAnsi="Open Sans"/>
          <w:b/>
          <w:i/>
          <w:iCs/>
          <w:color w:val="006600"/>
        </w:rPr>
        <w:tab/>
      </w:r>
      <w:r>
        <w:rPr>
          <w:rFonts w:ascii="Open Sans" w:hAnsi="Open Sans"/>
          <w:b/>
          <w:i/>
          <w:iCs/>
          <w:color w:val="006600"/>
          <w:u w:val="single"/>
        </w:rPr>
        <w:t>I. Mely esetben kell benyújtani?</w:t>
      </w:r>
    </w:p>
    <w:p w:rsidR="00875084" w:rsidRDefault="00875084">
      <w:pPr>
        <w:pStyle w:val="Default"/>
        <w:jc w:val="both"/>
        <w:rPr>
          <w:rFonts w:ascii="Open Sans" w:hAnsi="Open Sans"/>
          <w:b/>
          <w:color w:val="006600"/>
          <w:u w:val="single"/>
        </w:rPr>
      </w:pPr>
    </w:p>
    <w:p w:rsidR="00875084" w:rsidRDefault="000A2672">
      <w:pPr>
        <w:pStyle w:val="Default"/>
        <w:jc w:val="both"/>
        <w:rPr>
          <w:rFonts w:ascii="Open Sans" w:hAnsi="Open Sans"/>
          <w:sz w:val="22"/>
          <w:szCs w:val="22"/>
        </w:rPr>
      </w:pPr>
      <w:r w:rsidRPr="000A2672">
        <w:rPr>
          <w:rFonts w:ascii="Open Sans" w:hAnsi="Open Sans"/>
          <w:sz w:val="22"/>
          <w:szCs w:val="22"/>
        </w:rPr>
        <w:t xml:space="preserve">Törvényben meghatározott feltételek fennállása esetén </w:t>
      </w:r>
      <w:r>
        <w:rPr>
          <w:rFonts w:ascii="Open Sans" w:hAnsi="Open Sans"/>
          <w:sz w:val="22"/>
          <w:szCs w:val="22"/>
        </w:rPr>
        <w:t>e</w:t>
      </w:r>
      <w:r w:rsidR="00D74014" w:rsidRPr="00D74014">
        <w:rPr>
          <w:rFonts w:ascii="Open Sans" w:hAnsi="Open Sans"/>
          <w:sz w:val="22"/>
          <w:szCs w:val="22"/>
        </w:rPr>
        <w:t xml:space="preserve">zt az űrlapot kell használni </w:t>
      </w:r>
      <w:r w:rsidR="00D74014">
        <w:rPr>
          <w:rFonts w:ascii="Open Sans" w:hAnsi="Open Sans"/>
          <w:sz w:val="22"/>
          <w:szCs w:val="22"/>
        </w:rPr>
        <w:t xml:space="preserve">azokban a </w:t>
      </w:r>
      <w:r w:rsidR="000A00B6" w:rsidRPr="000A00B6">
        <w:rPr>
          <w:rFonts w:ascii="Open Sans" w:hAnsi="Open Sans"/>
          <w:sz w:val="22"/>
          <w:szCs w:val="22"/>
        </w:rPr>
        <w:t>Kúria előtti közigazgatási, polgári, gazdasági és munkaügyi peres felülvizsgálati eljárásokban</w:t>
      </w:r>
      <w:r w:rsidR="000A00B6">
        <w:rPr>
          <w:rFonts w:ascii="Open Sans" w:hAnsi="Open Sans"/>
          <w:sz w:val="22"/>
          <w:szCs w:val="22"/>
        </w:rPr>
        <w:t>, amelyekben a fél</w:t>
      </w:r>
      <w:r w:rsidR="000A00B6" w:rsidRPr="000A00B6">
        <w:rPr>
          <w:rFonts w:ascii="Open Sans" w:hAnsi="Open Sans"/>
          <w:sz w:val="22"/>
          <w:szCs w:val="22"/>
        </w:rPr>
        <w:t xml:space="preserve"> jogegységi panasz</w:t>
      </w:r>
      <w:r w:rsidR="000A00B6">
        <w:rPr>
          <w:rFonts w:ascii="Open Sans" w:hAnsi="Open Sans"/>
          <w:sz w:val="22"/>
          <w:szCs w:val="22"/>
        </w:rPr>
        <w:t>t kíván előterjeszteni.</w:t>
      </w:r>
    </w:p>
    <w:p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0A2672" w:rsidRPr="000A2672" w:rsidRDefault="000A2672" w:rsidP="000A2672">
      <w:pPr>
        <w:pStyle w:val="Default"/>
        <w:ind w:firstLine="720"/>
        <w:jc w:val="both"/>
        <w:rPr>
          <w:rFonts w:ascii="Open Sans" w:hAnsi="Open Sans"/>
          <w:b/>
          <w:i/>
          <w:iCs/>
          <w:color w:val="006600"/>
          <w:u w:val="single"/>
        </w:rPr>
      </w:pPr>
      <w:r w:rsidRPr="000A2672">
        <w:rPr>
          <w:rFonts w:ascii="Open Sans" w:hAnsi="Open Sans"/>
          <w:b/>
          <w:i/>
          <w:iCs/>
          <w:color w:val="006600"/>
          <w:u w:val="single"/>
        </w:rPr>
        <w:t>II. Melyik bíróságra kell benyújtani az űrlapot?</w:t>
      </w:r>
    </w:p>
    <w:p w:rsidR="000A2672" w:rsidRP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0A2672" w:rsidRDefault="000A2672" w:rsidP="000A2672">
      <w:pPr>
        <w:pStyle w:val="Standard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  <w:szCs w:val="22"/>
        </w:rPr>
        <w:t xml:space="preserve">Az űrlapot </w:t>
      </w:r>
      <w:r w:rsidRPr="002D347C">
        <w:rPr>
          <w:rFonts w:ascii="Open Sans" w:hAnsi="Open Sans"/>
          <w:color w:val="000000"/>
          <w:sz w:val="22"/>
          <w:szCs w:val="22"/>
        </w:rPr>
        <w:t>kizárólag a</w:t>
      </w:r>
      <w:r>
        <w:rPr>
          <w:rFonts w:ascii="Open Sans" w:hAnsi="Open Sans"/>
          <w:color w:val="000000"/>
          <w:sz w:val="22"/>
          <w:szCs w:val="22"/>
        </w:rPr>
        <w:t xml:space="preserve"> felülvizsgálati eljárásban eljáró</w:t>
      </w:r>
      <w:r w:rsidRPr="002D347C">
        <w:rPr>
          <w:rFonts w:ascii="Open Sans" w:hAnsi="Open Sans"/>
          <w:color w:val="000000"/>
          <w:sz w:val="22"/>
          <w:szCs w:val="22"/>
        </w:rPr>
        <w:t xml:space="preserve"> Kúriára nyújtható be</w:t>
      </w:r>
      <w:r>
        <w:rPr>
          <w:rFonts w:ascii="Open Sans" w:hAnsi="Open Sans"/>
          <w:color w:val="000000"/>
          <w:sz w:val="22"/>
          <w:szCs w:val="22"/>
        </w:rPr>
        <w:t>, amelyet a jogegységi panasz tanács a polgári perrendtartásról szóló 2016. évi CXXX. törvény alapján bírál el.</w:t>
      </w:r>
    </w:p>
    <w:p w:rsidR="000A2672" w:rsidRP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0A2672" w:rsidRPr="000A2672" w:rsidRDefault="000A2672" w:rsidP="000A2672">
      <w:pPr>
        <w:pStyle w:val="Default"/>
        <w:ind w:firstLine="720"/>
        <w:jc w:val="both"/>
        <w:rPr>
          <w:rFonts w:ascii="Open Sans" w:hAnsi="Open Sans"/>
          <w:sz w:val="22"/>
          <w:szCs w:val="22"/>
        </w:rPr>
      </w:pPr>
      <w:r w:rsidRPr="000A2672">
        <w:rPr>
          <w:rFonts w:ascii="Open Sans" w:hAnsi="Open Sans"/>
          <w:b/>
          <w:i/>
          <w:iCs/>
          <w:color w:val="006600"/>
          <w:u w:val="single"/>
        </w:rPr>
        <w:t>III. Mely időpontig nyújtható be az űrlap?</w:t>
      </w:r>
    </w:p>
    <w:p w:rsidR="000A2672" w:rsidRP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0A2672" w:rsidRP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  <w:r w:rsidRPr="000A2672">
        <w:rPr>
          <w:rFonts w:ascii="Open Sans" w:hAnsi="Open Sans"/>
          <w:sz w:val="22"/>
          <w:szCs w:val="22"/>
        </w:rPr>
        <w:t xml:space="preserve">A </w:t>
      </w:r>
      <w:r>
        <w:rPr>
          <w:rFonts w:ascii="Open Sans" w:hAnsi="Open Sans"/>
          <w:sz w:val="22"/>
          <w:szCs w:val="22"/>
        </w:rPr>
        <w:t>jogegységi panaszt a Kúriánál a sérelmezett</w:t>
      </w:r>
      <w:r w:rsidRPr="000A2672">
        <w:rPr>
          <w:rFonts w:ascii="Open Sans" w:hAnsi="Open Sans"/>
          <w:sz w:val="22"/>
          <w:szCs w:val="22"/>
        </w:rPr>
        <w:t xml:space="preserve"> határozat közlésétől számított </w:t>
      </w:r>
      <w:r>
        <w:rPr>
          <w:rFonts w:ascii="Open Sans" w:hAnsi="Open Sans"/>
          <w:sz w:val="22"/>
          <w:szCs w:val="22"/>
        </w:rPr>
        <w:t>harminc</w:t>
      </w:r>
      <w:r w:rsidRPr="000A2672">
        <w:rPr>
          <w:rFonts w:ascii="Open Sans" w:hAnsi="Open Sans"/>
          <w:sz w:val="22"/>
          <w:szCs w:val="22"/>
        </w:rPr>
        <w:t xml:space="preserve"> napon belül kell benyújtani.</w:t>
      </w:r>
    </w:p>
    <w:p w:rsidR="000A2672" w:rsidRP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0A2672" w:rsidRPr="000A2672" w:rsidRDefault="000A2672" w:rsidP="000A2672">
      <w:pPr>
        <w:pStyle w:val="Default"/>
        <w:ind w:firstLine="720"/>
        <w:jc w:val="both"/>
        <w:rPr>
          <w:rFonts w:ascii="Open Sans" w:hAnsi="Open Sans"/>
          <w:b/>
          <w:i/>
          <w:iCs/>
          <w:color w:val="006600"/>
          <w:u w:val="single"/>
        </w:rPr>
      </w:pPr>
      <w:r w:rsidRPr="000A2672">
        <w:rPr>
          <w:rFonts w:ascii="Open Sans" w:hAnsi="Open Sans"/>
          <w:b/>
          <w:i/>
          <w:iCs/>
          <w:color w:val="006600"/>
          <w:u w:val="single"/>
        </w:rPr>
        <w:t xml:space="preserve">IV. Mely esetekben van helye </w:t>
      </w:r>
      <w:r>
        <w:rPr>
          <w:rFonts w:ascii="Open Sans" w:hAnsi="Open Sans"/>
          <w:b/>
          <w:i/>
          <w:iCs/>
          <w:color w:val="006600"/>
          <w:u w:val="single"/>
        </w:rPr>
        <w:t>jogegységi panasz</w:t>
      </w:r>
      <w:r w:rsidRPr="000A2672">
        <w:rPr>
          <w:rFonts w:ascii="Open Sans" w:hAnsi="Open Sans"/>
          <w:b/>
          <w:i/>
          <w:iCs/>
          <w:color w:val="006600"/>
          <w:u w:val="single"/>
        </w:rPr>
        <w:t xml:space="preserve"> előterjesztésének?</w:t>
      </w:r>
    </w:p>
    <w:p w:rsidR="000A2672" w:rsidRP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0A2672" w:rsidRP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  <w:r w:rsidRPr="000A2672">
        <w:rPr>
          <w:rFonts w:ascii="Open Sans" w:hAnsi="Open Sans"/>
          <w:sz w:val="22"/>
          <w:szCs w:val="22"/>
        </w:rPr>
        <w:t>Jogegységi panasznak van helye a Kúriának</w:t>
      </w:r>
    </w:p>
    <w:p w:rsidR="000A2672" w:rsidRPr="000A2672" w:rsidRDefault="000A2672" w:rsidP="000A2672">
      <w:pPr>
        <w:pStyle w:val="Default"/>
        <w:ind w:left="720"/>
        <w:jc w:val="both"/>
        <w:rPr>
          <w:rFonts w:ascii="Open Sans" w:hAnsi="Open Sans"/>
          <w:sz w:val="22"/>
          <w:szCs w:val="22"/>
        </w:rPr>
      </w:pPr>
      <w:r w:rsidRPr="000A2672">
        <w:rPr>
          <w:rFonts w:ascii="Open Sans" w:hAnsi="Open Sans"/>
          <w:sz w:val="22"/>
          <w:szCs w:val="22"/>
        </w:rPr>
        <w:t>a) a felülvizsgálati kérelem vagy indítvány (a továbbiakban együtt: felülvizsgálati kérelem) vagy a közigazgatási perrendtartásról szóló törvény alapján fellebbezés alaptalansága esetén a megtámadott határozatot hatályában fenntartó határozata,</w:t>
      </w:r>
    </w:p>
    <w:p w:rsidR="000A2672" w:rsidRPr="000A2672" w:rsidRDefault="000A2672" w:rsidP="000A2672">
      <w:pPr>
        <w:pStyle w:val="Default"/>
        <w:ind w:left="720"/>
        <w:jc w:val="both"/>
        <w:rPr>
          <w:rFonts w:ascii="Open Sans" w:hAnsi="Open Sans"/>
          <w:sz w:val="22"/>
          <w:szCs w:val="22"/>
        </w:rPr>
      </w:pPr>
      <w:r w:rsidRPr="000A2672">
        <w:rPr>
          <w:rFonts w:ascii="Open Sans" w:hAnsi="Open Sans"/>
          <w:sz w:val="22"/>
          <w:szCs w:val="22"/>
        </w:rPr>
        <w:t>b) a felülvizsgálatot a polgári perrendtartásról szóló törvény alapján megtagadó határozata,</w:t>
      </w:r>
    </w:p>
    <w:p w:rsidR="000A2672" w:rsidRPr="000A2672" w:rsidRDefault="000A2672" w:rsidP="000A2672">
      <w:pPr>
        <w:pStyle w:val="Default"/>
        <w:ind w:left="720"/>
        <w:jc w:val="both"/>
        <w:rPr>
          <w:rFonts w:ascii="Open Sans" w:hAnsi="Open Sans"/>
          <w:sz w:val="22"/>
          <w:szCs w:val="22"/>
        </w:rPr>
      </w:pPr>
      <w:r w:rsidRPr="000A2672">
        <w:rPr>
          <w:rFonts w:ascii="Open Sans" w:hAnsi="Open Sans"/>
          <w:sz w:val="22"/>
          <w:szCs w:val="22"/>
        </w:rPr>
        <w:t>c) a felülvizsgálati kérelem befogadását a közigazgatási perrendtartásról szóló törvény alapján megtagadó határozata</w:t>
      </w:r>
    </w:p>
    <w:p w:rsidR="000A2672" w:rsidRP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  <w:r w:rsidRPr="000A2672">
        <w:rPr>
          <w:rFonts w:ascii="Open Sans" w:hAnsi="Open Sans"/>
          <w:sz w:val="22"/>
          <w:szCs w:val="22"/>
        </w:rPr>
        <w:t xml:space="preserve">ellen, </w:t>
      </w:r>
      <w:proofErr w:type="gramStart"/>
      <w:r w:rsidRPr="000A2672">
        <w:rPr>
          <w:rFonts w:ascii="Open Sans" w:hAnsi="Open Sans"/>
          <w:sz w:val="22"/>
          <w:szCs w:val="22"/>
        </w:rPr>
        <w:t>feltéve</w:t>
      </w:r>
      <w:proofErr w:type="gramEnd"/>
      <w:r w:rsidRPr="000A2672">
        <w:rPr>
          <w:rFonts w:ascii="Open Sans" w:hAnsi="Open Sans"/>
          <w:sz w:val="22"/>
          <w:szCs w:val="22"/>
        </w:rPr>
        <w:t xml:space="preserve"> hogy a felülvizsgálati kérelemben a Kúria közzétett határozatától jogkérdésben való eltérésre hivatkoztak.</w:t>
      </w:r>
    </w:p>
    <w:p w:rsidR="000A2672" w:rsidRP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  <w:r w:rsidRPr="000A2672">
        <w:rPr>
          <w:rFonts w:ascii="Open Sans" w:hAnsi="Open Sans"/>
          <w:sz w:val="22"/>
          <w:szCs w:val="22"/>
        </w:rPr>
        <w:t xml:space="preserve">Jogegységi panasznak van helye akkor is, ha a Kúria ítélkező tanácsa jogkérdésben - jogegységi eljárás kezdeményezése nélkül - úgy tér el a Kúria közzétett határozatától, hogy az adott eltérésre az </w:t>
      </w:r>
      <w:proofErr w:type="spellStart"/>
      <w:r w:rsidRPr="000A2672">
        <w:rPr>
          <w:rFonts w:ascii="Open Sans" w:hAnsi="Open Sans"/>
          <w:sz w:val="22"/>
          <w:szCs w:val="22"/>
        </w:rPr>
        <w:t>alsóbbfokú</w:t>
      </w:r>
      <w:proofErr w:type="spellEnd"/>
      <w:r w:rsidRPr="000A2672">
        <w:rPr>
          <w:rFonts w:ascii="Open Sans" w:hAnsi="Open Sans"/>
          <w:sz w:val="22"/>
          <w:szCs w:val="22"/>
        </w:rPr>
        <w:t xml:space="preserve"> bíróságok határozatában nem került sor.</w:t>
      </w:r>
    </w:p>
    <w:p w:rsidR="000A2672" w:rsidRP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0A2672" w:rsidRPr="000A2672" w:rsidRDefault="000A2672" w:rsidP="000A2672">
      <w:pPr>
        <w:pStyle w:val="Default"/>
        <w:ind w:firstLine="720"/>
        <w:jc w:val="both"/>
        <w:rPr>
          <w:rFonts w:ascii="Open Sans" w:hAnsi="Open Sans"/>
          <w:sz w:val="22"/>
          <w:szCs w:val="22"/>
        </w:rPr>
      </w:pPr>
      <w:r w:rsidRPr="000A2672">
        <w:rPr>
          <w:rFonts w:ascii="Open Sans" w:hAnsi="Open Sans"/>
          <w:b/>
          <w:i/>
          <w:iCs/>
          <w:color w:val="006600"/>
          <w:u w:val="single"/>
        </w:rPr>
        <w:t xml:space="preserve">V. Milyen tartalommal kell a </w:t>
      </w:r>
      <w:r>
        <w:rPr>
          <w:rFonts w:ascii="Open Sans" w:hAnsi="Open Sans"/>
          <w:b/>
          <w:i/>
          <w:iCs/>
          <w:color w:val="006600"/>
          <w:u w:val="single"/>
        </w:rPr>
        <w:t>jogegységi panaszt</w:t>
      </w:r>
      <w:r w:rsidRPr="000A2672">
        <w:rPr>
          <w:rFonts w:ascii="Open Sans" w:hAnsi="Open Sans"/>
          <w:b/>
          <w:i/>
          <w:iCs/>
          <w:color w:val="006600"/>
          <w:u w:val="single"/>
        </w:rPr>
        <w:t xml:space="preserve"> előterjeszteni?</w:t>
      </w:r>
    </w:p>
    <w:p w:rsidR="000A2672" w:rsidRP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  <w:r w:rsidRPr="000A2672">
        <w:rPr>
          <w:rFonts w:ascii="Open Sans" w:hAnsi="Open Sans"/>
          <w:sz w:val="22"/>
          <w:szCs w:val="22"/>
        </w:rPr>
        <w:t>A jogegységi panaszban - a beadványra vonatkozó általános szabályokon túl - meg kell jelölni</w:t>
      </w:r>
      <w:r>
        <w:rPr>
          <w:rFonts w:ascii="Open Sans" w:hAnsi="Open Sans"/>
          <w:sz w:val="22"/>
          <w:szCs w:val="22"/>
        </w:rPr>
        <w:t xml:space="preserve"> </w:t>
      </w:r>
      <w:r w:rsidRPr="000A2672">
        <w:rPr>
          <w:rFonts w:ascii="Open Sans" w:hAnsi="Open Sans"/>
          <w:sz w:val="22"/>
          <w:szCs w:val="22"/>
        </w:rPr>
        <w:t>azt a határozatot, amellyel szemben a fél a panaszt előterjeszti,</w:t>
      </w:r>
      <w:r>
        <w:rPr>
          <w:rFonts w:ascii="Open Sans" w:hAnsi="Open Sans"/>
          <w:sz w:val="22"/>
          <w:szCs w:val="22"/>
        </w:rPr>
        <w:t xml:space="preserve"> és </w:t>
      </w:r>
      <w:r w:rsidRPr="000A2672">
        <w:rPr>
          <w:rFonts w:ascii="Open Sans" w:hAnsi="Open Sans"/>
          <w:sz w:val="22"/>
          <w:szCs w:val="22"/>
        </w:rPr>
        <w:t>azt a közzétett kúriai határozatot, amelytől jogkérdésben való eltérést állít a fél.</w:t>
      </w:r>
    </w:p>
    <w:p w:rsidR="00772769" w:rsidRDefault="00772769" w:rsidP="000A2672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772769" w:rsidRDefault="00772769" w:rsidP="000A2672">
      <w:pPr>
        <w:pStyle w:val="Default"/>
        <w:jc w:val="both"/>
        <w:rPr>
          <w:rFonts w:ascii="Open Sans" w:hAnsi="Open Sans"/>
          <w:sz w:val="22"/>
          <w:szCs w:val="22"/>
        </w:rPr>
      </w:pPr>
      <w:r w:rsidRPr="00772769">
        <w:rPr>
          <w:rFonts w:ascii="Open Sans" w:hAnsi="Open Sans"/>
          <w:sz w:val="22"/>
          <w:szCs w:val="22"/>
        </w:rPr>
        <w:t>A jogegységi panasz iránti eljárásban végrehajtás felfüggesztése vagy azonnali jogvédelem iránti kérelemnek van helye, az annak alapjául szolgáló eljárás szabályai szerint. A végrehajtás felfüggesztése vagy azonnali jogvédelem iránti kérelmet a jogegységi panaszban kell előterjeszteni.</w:t>
      </w:r>
    </w:p>
    <w:p w:rsidR="000A2672" w:rsidRDefault="000A2672" w:rsidP="000A2672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875084" w:rsidRDefault="00CF4DAC">
      <w:pPr>
        <w:pStyle w:val="Default"/>
        <w:jc w:val="both"/>
        <w:rPr>
          <w:rFonts w:ascii="Open Sans" w:hAnsi="Open Sans"/>
          <w:b/>
          <w:bCs/>
          <w:i/>
          <w:iCs/>
          <w:sz w:val="22"/>
          <w:szCs w:val="22"/>
        </w:rPr>
      </w:pPr>
      <w:r>
        <w:rPr>
          <w:rFonts w:ascii="Open Sans" w:hAnsi="Open Sans"/>
          <w:b/>
          <w:bCs/>
          <w:i/>
          <w:iCs/>
          <w:sz w:val="22"/>
          <w:szCs w:val="22"/>
        </w:rPr>
        <w:lastRenderedPageBreak/>
        <w:tab/>
      </w:r>
      <w:r w:rsidR="000A2672" w:rsidRPr="000A2672">
        <w:rPr>
          <w:rFonts w:ascii="Open Sans" w:hAnsi="Open Sans"/>
          <w:b/>
          <w:bCs/>
          <w:i/>
          <w:iCs/>
          <w:color w:val="006600"/>
          <w:u w:val="single"/>
        </w:rPr>
        <w:t>VI</w:t>
      </w:r>
      <w:r>
        <w:rPr>
          <w:rFonts w:ascii="Open Sans" w:hAnsi="Open Sans"/>
          <w:b/>
          <w:bCs/>
          <w:i/>
          <w:iCs/>
          <w:color w:val="006600"/>
          <w:u w:val="single"/>
        </w:rPr>
        <w:t>. Ki nyújthatja be ezt a nyomtatványt?</w:t>
      </w:r>
    </w:p>
    <w:p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F72C4B" w:rsidRDefault="00D74014">
      <w:pPr>
        <w:pStyle w:val="Default"/>
        <w:jc w:val="both"/>
        <w:rPr>
          <w:rFonts w:ascii="Open Sans" w:hAnsi="Open Sans"/>
          <w:sz w:val="22"/>
          <w:szCs w:val="22"/>
        </w:rPr>
      </w:pPr>
      <w:r w:rsidRPr="00D74014">
        <w:rPr>
          <w:rFonts w:ascii="Open Sans" w:hAnsi="Open Sans"/>
          <w:sz w:val="22"/>
          <w:szCs w:val="22"/>
        </w:rPr>
        <w:t xml:space="preserve">Ezt az űrlapot az nyújthatja be, </w:t>
      </w:r>
      <w:r w:rsidR="00772769" w:rsidRPr="00D74014">
        <w:rPr>
          <w:rFonts w:ascii="Open Sans" w:hAnsi="Open Sans"/>
          <w:sz w:val="22"/>
          <w:szCs w:val="22"/>
        </w:rPr>
        <w:t>aki</w:t>
      </w:r>
      <w:r w:rsidR="00772769" w:rsidRPr="00772769">
        <w:t xml:space="preserve"> </w:t>
      </w:r>
      <w:r w:rsidR="00772769" w:rsidRPr="00772769">
        <w:rPr>
          <w:rFonts w:ascii="Open Sans" w:hAnsi="Open Sans"/>
          <w:sz w:val="22"/>
          <w:szCs w:val="22"/>
        </w:rPr>
        <w:t>az eljárási törvények alapján felülvizsgálati kérelem - vagy a közigazgatási perrendtartásról szóló törvény alapján fellebbezés - előterjesztésére jogosult</w:t>
      </w:r>
      <w:r w:rsidR="00772769">
        <w:rPr>
          <w:rFonts w:ascii="Open Sans" w:hAnsi="Open Sans"/>
          <w:sz w:val="22"/>
          <w:szCs w:val="22"/>
        </w:rPr>
        <w:t>.</w:t>
      </w:r>
    </w:p>
    <w:p w:rsidR="00F72C4B" w:rsidRDefault="00F72C4B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772769" w:rsidRDefault="00772769">
      <w:pPr>
        <w:pStyle w:val="Default"/>
        <w:jc w:val="both"/>
        <w:rPr>
          <w:rFonts w:ascii="Open Sans" w:hAnsi="Open Sans"/>
          <w:sz w:val="22"/>
          <w:szCs w:val="22"/>
        </w:rPr>
      </w:pPr>
      <w:r w:rsidRPr="00772769">
        <w:rPr>
          <w:rFonts w:ascii="Open Sans" w:hAnsi="Open Sans"/>
          <w:sz w:val="22"/>
          <w:szCs w:val="22"/>
        </w:rPr>
        <w:t>A jogegységi panasz eljárásban a polgári perrendtartásról szóló törvény szerinti jogi képviselet kötelező</w:t>
      </w:r>
    </w:p>
    <w:p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875084" w:rsidRDefault="00CF4DAC">
      <w:pPr>
        <w:pStyle w:val="Default"/>
        <w:jc w:val="both"/>
        <w:rPr>
          <w:rFonts w:ascii="Open Sans" w:hAnsi="Open Sans"/>
          <w:b/>
          <w:bCs/>
          <w:i/>
          <w:iCs/>
          <w:sz w:val="22"/>
          <w:szCs w:val="22"/>
        </w:rPr>
      </w:pPr>
      <w:r>
        <w:rPr>
          <w:rFonts w:ascii="Open Sans" w:hAnsi="Open Sans"/>
          <w:b/>
          <w:bCs/>
          <w:i/>
          <w:iCs/>
          <w:sz w:val="22"/>
          <w:szCs w:val="22"/>
        </w:rPr>
        <w:tab/>
      </w:r>
      <w:r w:rsidR="00772769" w:rsidRPr="00772769">
        <w:rPr>
          <w:rFonts w:ascii="Open Sans" w:hAnsi="Open Sans"/>
          <w:b/>
          <w:bCs/>
          <w:i/>
          <w:iCs/>
          <w:color w:val="006600"/>
          <w:u w:val="single"/>
        </w:rPr>
        <w:t>V</w:t>
      </w:r>
      <w:r w:rsidR="00D74014" w:rsidRPr="00D74014">
        <w:rPr>
          <w:rFonts w:ascii="Open Sans" w:hAnsi="Open Sans"/>
          <w:b/>
          <w:bCs/>
          <w:i/>
          <w:iCs/>
          <w:color w:val="006600"/>
          <w:u w:val="single"/>
        </w:rPr>
        <w:t>II</w:t>
      </w:r>
      <w:r>
        <w:rPr>
          <w:rFonts w:ascii="Open Sans" w:hAnsi="Open Sans"/>
          <w:b/>
          <w:bCs/>
          <w:i/>
          <w:iCs/>
          <w:color w:val="006600"/>
          <w:u w:val="single"/>
        </w:rPr>
        <w:t>. Milyen lehetőségek vannak a beadvány szövegének feltüntetésére?</w:t>
      </w:r>
    </w:p>
    <w:p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875084" w:rsidRDefault="00CF4DAC">
      <w:pPr>
        <w:pStyle w:val="Default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Lehetősége van arra</w:t>
      </w:r>
      <w:bookmarkStart w:id="0" w:name="_GoBack"/>
      <w:bookmarkEnd w:id="0"/>
      <w:r>
        <w:rPr>
          <w:rFonts w:ascii="Open Sans" w:hAnsi="Open Sans"/>
          <w:sz w:val="22"/>
          <w:szCs w:val="22"/>
        </w:rPr>
        <w:t xml:space="preserve">, hogy az adatlapon tüntesse fel a </w:t>
      </w:r>
      <w:r w:rsidR="00F72C4B">
        <w:rPr>
          <w:rFonts w:ascii="Open Sans" w:hAnsi="Open Sans"/>
          <w:sz w:val="22"/>
          <w:szCs w:val="22"/>
        </w:rPr>
        <w:t>kérelem</w:t>
      </w:r>
      <w:r>
        <w:rPr>
          <w:rFonts w:ascii="Open Sans" w:hAnsi="Open Sans"/>
          <w:sz w:val="22"/>
          <w:szCs w:val="22"/>
        </w:rPr>
        <w:t xml:space="preserve"> szövegét, lehetősége van azonban arra is, hogy azt elektronikus dokumentumként csatolja az adatlaphoz. Elektronikus dokumentumként kell csatolni a </w:t>
      </w:r>
      <w:r w:rsidR="00F72C4B">
        <w:rPr>
          <w:rFonts w:ascii="Open Sans" w:hAnsi="Open Sans"/>
          <w:sz w:val="22"/>
          <w:szCs w:val="22"/>
        </w:rPr>
        <w:t>kérelem</w:t>
      </w:r>
      <w:r>
        <w:rPr>
          <w:rFonts w:ascii="Open Sans" w:hAnsi="Open Sans"/>
          <w:sz w:val="22"/>
          <w:szCs w:val="22"/>
        </w:rPr>
        <w:t xml:space="preserve"> mellékleteit is. Felhívjuk figyelmét, hogy a csatolni kívánt dokumentumok (</w:t>
      </w:r>
      <w:r w:rsidR="00F72C4B">
        <w:rPr>
          <w:rFonts w:ascii="Open Sans" w:hAnsi="Open Sans"/>
          <w:sz w:val="22"/>
          <w:szCs w:val="22"/>
        </w:rPr>
        <w:t>kérelem</w:t>
      </w:r>
      <w:r>
        <w:rPr>
          <w:rFonts w:ascii="Open Sans" w:hAnsi="Open Sans"/>
          <w:sz w:val="22"/>
          <w:szCs w:val="22"/>
        </w:rPr>
        <w:t xml:space="preserve"> és mellékletei) együttes mérete nem haladhatja meg a bíróságok központi honlapján (</w:t>
      </w:r>
      <w:hyperlink r:id="rId7" w:history="1">
        <w:r>
          <w:rPr>
            <w:rFonts w:ascii="Open Sans" w:hAnsi="Open Sans"/>
            <w:sz w:val="22"/>
            <w:szCs w:val="22"/>
          </w:rPr>
          <w:t>www.birosag.hu</w:t>
        </w:r>
      </w:hyperlink>
      <w:r>
        <w:rPr>
          <w:rFonts w:ascii="Open Sans" w:hAnsi="Open Sans"/>
          <w:sz w:val="22"/>
          <w:szCs w:val="22"/>
        </w:rPr>
        <w:t>) közzétett maximális nagyságot. Meghaladó méretnél a beadványt adathordozón kell beküldeni, melyet az adatlapon jelezni kell. Az adathordozón történő beküldéshez olvassa el a P28 jelölésű űrlaphoz tartozó tájékoztatót.</w:t>
      </w:r>
    </w:p>
    <w:p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875084" w:rsidRDefault="00CF4DAC">
      <w:pPr>
        <w:pStyle w:val="Default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Az egyes pontok kitöltéséhez kérjük figyelmesen olvassa el a kitöltési útmutatót.</w:t>
      </w:r>
    </w:p>
    <w:p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sectPr w:rsidR="0087508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6D" w:rsidRDefault="00FC556D">
      <w:r>
        <w:separator/>
      </w:r>
    </w:p>
  </w:endnote>
  <w:endnote w:type="continuationSeparator" w:id="0">
    <w:p w:rsidR="00FC556D" w:rsidRDefault="00FC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6D" w:rsidRDefault="00FC556D">
      <w:r>
        <w:rPr>
          <w:color w:val="000000"/>
        </w:rPr>
        <w:separator/>
      </w:r>
    </w:p>
  </w:footnote>
  <w:footnote w:type="continuationSeparator" w:id="0">
    <w:p w:rsidR="00FC556D" w:rsidRDefault="00FC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39AA"/>
    <w:multiLevelType w:val="multilevel"/>
    <w:tmpl w:val="CEA2B192"/>
    <w:styleLink w:val="WWNum3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1C23FC"/>
    <w:multiLevelType w:val="multilevel"/>
    <w:tmpl w:val="46D83B6E"/>
    <w:styleLink w:val="WWNum2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CA0E83"/>
    <w:multiLevelType w:val="multilevel"/>
    <w:tmpl w:val="E0D86BBC"/>
    <w:styleLink w:val="WWNum1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5976828"/>
    <w:multiLevelType w:val="hybridMultilevel"/>
    <w:tmpl w:val="381CD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6AF"/>
    <w:multiLevelType w:val="hybridMultilevel"/>
    <w:tmpl w:val="2CB6A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24F15"/>
    <w:multiLevelType w:val="multilevel"/>
    <w:tmpl w:val="5AACCAAE"/>
    <w:styleLink w:val="WWNum4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4"/>
    <w:rsid w:val="000A00B6"/>
    <w:rsid w:val="000A2672"/>
    <w:rsid w:val="001D47FD"/>
    <w:rsid w:val="003A0E27"/>
    <w:rsid w:val="004C5E10"/>
    <w:rsid w:val="00772769"/>
    <w:rsid w:val="00875084"/>
    <w:rsid w:val="009343FE"/>
    <w:rsid w:val="00A66B3A"/>
    <w:rsid w:val="00B849B6"/>
    <w:rsid w:val="00CF4DAC"/>
    <w:rsid w:val="00D67602"/>
    <w:rsid w:val="00D74014"/>
    <w:rsid w:val="00DD7FEB"/>
    <w:rsid w:val="00F72C4B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CADE"/>
  <w15:docId w15:val="{D5AD82D1-863E-49D2-B5D8-6C8607B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mbria" w:eastAsia="Cambria" w:hAnsi="Cambria" w:cs="Cambria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osag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Birosag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Kapitány Attila dr.</cp:lastModifiedBy>
  <cp:revision>3</cp:revision>
  <dcterms:created xsi:type="dcterms:W3CDTF">2020-03-30T17:10:00Z</dcterms:created>
  <dcterms:modified xsi:type="dcterms:W3CDTF">2020-03-30T17:20:00Z</dcterms:modified>
</cp:coreProperties>
</file>